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750FF2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Академічна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6-003351-b" w:history="1">
        <w:r w:rsidR="007417D2" w:rsidRPr="007417D2">
          <w:rPr>
            <w:rFonts w:ascii="Times New Roman" w:eastAsia="Times New Roman" w:hAnsi="Times New Roman"/>
            <w:sz w:val="28"/>
            <w:szCs w:val="28"/>
            <w:lang w:eastAsia="ru-RU"/>
          </w:rPr>
          <w:t>UA-2021-09-06-003351-b</w:t>
        </w:r>
      </w:hyperlink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7417D2">
        <w:rPr>
          <w:rFonts w:ascii="Times New Roman" w:hAnsi="Times New Roman"/>
          <w:sz w:val="28"/>
          <w:szCs w:val="28"/>
        </w:rPr>
        <w:t>тіньового навісу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417D2">
        <w:rPr>
          <w:rFonts w:ascii="Times New Roman" w:hAnsi="Times New Roman"/>
          <w:sz w:val="28"/>
          <w:szCs w:val="28"/>
        </w:rPr>
        <w:t>25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277 654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277 654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5A5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6-003351-b-kapitalnyj-remont-tinovoho-navisu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2021-09-08T11:58:00Z</dcterms:modified>
</cp:coreProperties>
</file>